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88" w:lineRule="auto"/>
        <w:rPr>
          <w:b/>
          <w:bCs/>
        </w:rPr>
      </w:pPr>
      <w:r>
        <w:rPr>
          <w:b/>
          <w:bCs/>
        </w:rPr>
        <w:t>Резолюция Круглого стола по вопросу коммерциализации деятельности Авиации общего назначения (АОН)</w:t>
      </w:r>
      <w:r>
        <w:rPr>
          <w:b/>
          <w:bCs/>
        </w:rPr>
      </w:r>
    </w:p>
    <w:p>
      <w:pPr>
        <w:spacing w:after="120" w:line="288" w:lineRule="auto"/>
      </w:pPr>
      <w:r>
        <w:t>Принята по результатам Круглого стола, посвящённого вопросу коммерциализации деятельности Авиации общего назначения (АОН), проведённого по инициативе журнала «Авиатранспортное обозрение»</w:t>
      </w:r>
    </w:p>
    <w:p>
      <w:pPr>
        <w:spacing w:after="120" w:line="288" w:lineRule="auto"/>
      </w:pPr>
      <w:r/>
    </w:p>
    <w:p>
      <w:pPr>
        <w:spacing w:after="120" w:line="288" w:lineRule="auto"/>
      </w:pPr>
      <w:r>
        <w:t>В настоящее время идёт подготовка к принятию Федерального закона «О внесении изменений в отдельные законодательные акты Российской Федерации в части регулирования деятельности авиации общего назначения». Одновременно готовится приказ Министерства транспорта РФ «Об утверждении Федеральных авиационных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 от 23.12.2009 №249 и новой редакции Приложения №1 к данному приказу.</w:t>
      </w:r>
    </w:p>
    <w:p>
      <w:pPr>
        <w:spacing w:after="120" w:line="288" w:lineRule="auto"/>
      </w:pPr>
      <w:r>
        <w:t>В совокупности эти инициативы направлены на то, чтобы разрешить коммерческую деятельность АОН в целях стимулирования её развития.</w:t>
      </w:r>
    </w:p>
    <w:p>
      <w:pPr>
        <w:spacing w:after="120" w:line="288" w:lineRule="auto"/>
      </w:pPr>
      <w:r/>
    </w:p>
    <w:p>
      <w:pPr>
        <w:spacing w:after="120" w:line="288" w:lineRule="auto"/>
        <w:rPr>
          <w:b/>
          <w:bCs/>
        </w:rPr>
      </w:pPr>
      <w:r>
        <w:rPr>
          <w:b/>
          <w:bCs/>
        </w:rPr>
        <w:t>О важности развития АОН</w:t>
      </w:r>
      <w:r>
        <w:rPr>
          <w:b/>
          <w:bCs/>
        </w:rPr>
      </w:r>
    </w:p>
    <w:p>
      <w:pPr>
        <w:spacing w:after="120" w:line="288" w:lineRule="auto"/>
      </w:pPr>
      <w:r>
        <w:t>Следует констатировать, что АОН – важнейшая составная часть глобальной транспортной системы, дополняющая коммерческую авиацию и другие виды транспорта, а также значимая компонента авиационной деятельности в целом. Для России с её огромными пространствами, неразвитой транспортной инфраструктурой автомобильных и железных дорог, надолго замерзающими реками и озёрами, частная авиация – огромное благо. Мы должны всегда помнить простое, но точное высказывание: «Одна миля шоссе или железной дороги не ведёт никуда, одна миля взлётно-посадочной полосы ведёт куда угодно!».</w:t>
      </w:r>
    </w:p>
    <w:p>
      <w:pPr>
        <w:spacing w:after="120" w:line="288" w:lineRule="auto"/>
      </w:pPr>
      <w:r>
        <w:t>При эффективном регулировании и должном развитии, АОН в состоянии решать широкий перечень задач, связанных с обеспечением транспортной доступности, осуществлением авиационных работ, формированием кадрового потенциала гражданской авиации. По примеру других стран, АОН может стать мощным стимулом для развития производства воздушных судов и компонентов для них, для восстановления и строительства объектов наземной инфраструктуры.</w:t>
      </w:r>
    </w:p>
    <w:p>
      <w:pPr>
        <w:spacing w:after="120" w:line="288" w:lineRule="auto"/>
      </w:pPr>
      <w:r>
        <w:t>АОН в России длительное время оставалась уделом энтузиастов и любителей авиации. Однако по мере того, как «любительскими» полётами увлеклись многие влиятельные представители власти и бизнеса, у сообщества авиаторов появился потенциал для решения назревших проблем, в том числе – в части регулирования деятельности АОН.</w:t>
      </w:r>
    </w:p>
    <w:p>
      <w:pPr>
        <w:spacing w:after="120" w:line="288" w:lineRule="auto"/>
      </w:pPr>
      <w:r>
        <w:t>Для развития АОН необходимо снять излишние административные барьеры и допустить выполнение ряда коммерческих и некоммерческих услуг, выполняемых на возмездной основе (когда заказчик компенсирует фактические расходы на полет).</w:t>
      </w:r>
    </w:p>
    <w:p>
      <w:pPr>
        <w:spacing w:after="120" w:line="288" w:lineRule="auto"/>
      </w:pPr>
      <w:r/>
    </w:p>
    <w:p>
      <w:pPr>
        <w:spacing w:after="120" w:line="288" w:lineRule="auto"/>
        <w:rPr>
          <w:b/>
          <w:bCs/>
        </w:rPr>
      </w:pPr>
      <w:r>
        <w:rPr>
          <w:b/>
          <w:bCs/>
        </w:rPr>
        <w:t>О рисках предложенных поправок</w:t>
      </w:r>
      <w:r>
        <w:rPr>
          <w:b/>
          <w:bCs/>
        </w:rPr>
      </w:r>
    </w:p>
    <w:p>
      <w:pPr>
        <w:spacing w:after="120" w:line="288" w:lineRule="auto"/>
      </w:pPr>
      <w:r>
        <w:t>Участники Круглого стола отмечают, что подготавливаемые документы в их нынешнем виде могут привести к драматическим последствиям. Легализуя коммерческую деятельность АОН без предъявления адекватных требований к участникам экономической деятельности, мы рискуем вовлечь в эту чувствительную сферу большое количество людей, которыми движет желание наживы.</w:t>
      </w:r>
    </w:p>
    <w:p>
      <w:pPr>
        <w:spacing w:after="120" w:line="288" w:lineRule="auto"/>
      </w:pPr>
      <w:r>
        <w:t>Безоговорочно поддерживания необходимость развития авиации общего назначения и формирования цивилизованного и прозрачного рынка услуг АОН, участники круглого стола считают необходимым подчеркнуть, что коммерциализация этого сегмента ни в коем случае не должна идти в ущерб уровню безопасности полётов. В противном случае мы столкнёмся с увеличением количества авиационных происшествий, связанных с нанесением вреда жизни и здоровью людей, уничтожением имущества и материальных ценностей.</w:t>
      </w:r>
    </w:p>
    <w:p>
      <w:pPr>
        <w:spacing w:after="120" w:line="288" w:lineRule="auto"/>
      </w:pPr>
      <w:r>
        <w:t>Косвенным следствием станет резкое ухудшение и без того не слишком привлекательной статистики по аварийности коммерческих полётов, что неизбежно повлечёт дополнительные финансовые расходы для всей отрасли гражданской авиации России из-за роста лизинговых ставок и страховых премий.</w:t>
      </w:r>
    </w:p>
    <w:p>
      <w:pPr>
        <w:spacing w:after="120" w:line="288" w:lineRule="auto"/>
      </w:pPr>
      <w:r>
        <w:t>Наконец, следует опасаться разрушения сложившегося рынка авиационных работ, многие из добросовестных операторов которого не смогут продолжить деятельность в случае появления на рынке услуг, предлагаемых по демпинговой цене. Риск разрушения рынка очевиден, учитывая, что различие в требованиях к коммерческим операторам и операторам АОН в части контроля за поддержанием лётной годности ВС и подготовки лётного состава ставит участников рынка в совершенно неравные условия.</w:t>
      </w:r>
    </w:p>
    <w:p>
      <w:pPr>
        <w:spacing w:after="120" w:line="288" w:lineRule="auto"/>
      </w:pPr>
      <w:r/>
    </w:p>
    <w:p>
      <w:pPr>
        <w:spacing w:after="120" w:line="288" w:lineRule="auto"/>
        <w:rPr>
          <w:b/>
          <w:bCs/>
        </w:rPr>
      </w:pPr>
      <w:r>
        <w:rPr>
          <w:b/>
          <w:bCs/>
        </w:rPr>
        <w:t>О рискориентированном подходе</w:t>
      </w:r>
      <w:r>
        <w:rPr>
          <w:b/>
          <w:bCs/>
        </w:rPr>
      </w:r>
    </w:p>
    <w:p>
      <w:pPr>
        <w:spacing w:after="120" w:line="288" w:lineRule="auto"/>
      </w:pPr>
      <w:r>
        <w:t>Отмечая позитивную роль снижения избыточной зарегулированности АОН, следует подчеркнуть, что в нынешних проектах документов наблюдается чрезмерный, по нашему мнению, отказ от нормативного регулирования.</w:t>
      </w:r>
    </w:p>
    <w:p>
      <w:pPr>
        <w:spacing w:after="120" w:line="288" w:lineRule="auto"/>
      </w:pPr>
      <w:r>
        <w:t>Мы приветствуем предлагаемое в поправках к Воздушному кодексу разграничение типов полётов на коммерческие воздушные перевозки (для выполнения которых необходим сертификат коммерческого эксплуатанта и соответствие всем требованиям, прописанным в ФАП) и на коммерческие (выполняемые за плату) и некоммерческие (выполняемые в интересах владельца) полёты. Однако при таком подходе остаётся неясным, куда отнести полёты без получения прибыли, при которых заказчик возмещает только фактические расходы. Также необходимо проработать механизм налогообложения подобных полётов.</w:t>
      </w:r>
    </w:p>
    <w:p>
      <w:pPr>
        <w:spacing w:after="120" w:line="288" w:lineRule="auto"/>
      </w:pPr>
      <w:r>
        <w:t>Кроме того, пока нет чёткого перечисления видов авиационных работ с оценкой рисков и выставлением требований, пропорциональных рискам. Минимизация списка авиаработ (полёты с внешней подвеской груза, перевозки взрывчатых, радиоактивных и ядовитых веществ, тушение пожаров) и отнесение всех остальных работ к авиационным услугам, несомненно, открывает широкий простор для коммерческой деятельности в этих областях, для которой, согласно новым поправкам в Воздушный кодекс, даже не потребуется получение лицензии (если речь идёт о сверхлёгких и лёгких воздушных судах). Однако, например, проведение химической обработки полей требует наличия специальной подготовки, и допускать к этой деятельности всех желающих было бы непредусмотрительно.</w:t>
      </w:r>
    </w:p>
    <w:p>
      <w:pPr>
        <w:spacing w:after="120" w:line="288" w:lineRule="auto"/>
      </w:pPr>
      <w:r>
        <w:t>Особое беспокойство вызывает отнесение к авиационным услугам экскурсионных и демонстрационных полётов. Пока для выполнения подобных полётов следует соблюдать все требования, необходимые для коммерческих эксплуатантов (в частности, наличие в парке не менее трёх воздушных судов). Резкое ослабление требований ставит в неравное положение эксплуатантов АОН и коммерческих эксплуатантов, более того, возникает серьёзная обеспокоенность по поводу обеспечения безопасности полётов, поскольку существующие жёсткие требования к коммерческим эксплуатантам вполне обоснованы.</w:t>
      </w:r>
    </w:p>
    <w:p>
      <w:pPr>
        <w:spacing w:after="120" w:line="288" w:lineRule="auto"/>
      </w:pPr>
      <w:r>
        <w:t>Необходимо в рамках ФАП выстроить чёткую систему, устанавливающую на основе анализа рисков набор требований к эксплуатантам АОН, физическим и юридическим лицам, претендующим на право выполнять те или иные работы. В то же время, попытки внесения поправок в Воздушный кодекс до разработки и проведения публичного обсуждения проектов изменений соответствующих Федеральных авиационных правил (ФАП) может повлечь негативные последствия – подобный опыт уже был при решении вопросов по овербукингу и ручной клади. Осознавая высокие риски внедрения революционных изменений, но не видя методов парирования этих рисков, реализуемых в формате ФАП, законодатели, и широкая общественность, могут на долгое время заблокировать реализацию любых инициатив в этой области. Необходимо, чтобы как минимум до принятия Законопроекта во втором чтении были подготовлены и все поправки в ФАП – это позволит интегрально проанализировать предлагаемые новации.</w:t>
      </w:r>
    </w:p>
    <w:p>
      <w:pPr>
        <w:spacing w:after="120" w:line="288" w:lineRule="auto"/>
      </w:pPr>
      <w:r>
        <w:t>Для дальнейшего активного и гармоничного развития АОН считаем необходимым увязать процесс коммерциализации АОН с возрождением в рамках АОН системы обучения пилотов, которая сейчас находится в крайне тяжёлой ситуации, что во многом обусловлено деятельностью регулирующих органов. В рамках этой системы следует уделить особое внимание принятому ICAO подходу по управлению безопасностью полётов (Приложение 19 к Конвенции ИКАО), адаптировав его к реалиям АОН.</w:t>
      </w:r>
    </w:p>
    <w:p>
      <w:pPr>
        <w:spacing w:after="120" w:line="288" w:lineRule="auto"/>
      </w:pPr>
      <w:r/>
    </w:p>
    <w:p>
      <w:pPr>
        <w:spacing w:after="120" w:line="288" w:lineRule="auto"/>
        <w:rPr>
          <w:b/>
          <w:bCs/>
        </w:rPr>
      </w:pPr>
      <w:r>
        <w:rPr>
          <w:b/>
          <w:bCs/>
        </w:rPr>
        <w:t>О перераспределении ответственности</w:t>
      </w:r>
      <w:r>
        <w:rPr>
          <w:b/>
          <w:bCs/>
        </w:rPr>
      </w:r>
    </w:p>
    <w:p>
      <w:pPr>
        <w:spacing w:after="120" w:line="288" w:lineRule="auto"/>
      </w:pPr>
      <w:r>
        <w:t>Коммерциализация АОН должна происходить не на фоне полного снятия требований и ликвидации какого-либо контроля со стороны государства, а в формате разумного упрощения требований и передачи ответственности за обеспечение безопасности полётов от авиационных властей к отраслевому сообществу. Внешний контроль должен быть заменён самодисциплиной и ответственностью эксплуатантов АОН.</w:t>
      </w:r>
    </w:p>
    <w:p>
      <w:pPr>
        <w:spacing w:after="120" w:line="288" w:lineRule="auto"/>
      </w:pPr>
      <w:r>
        <w:t xml:space="preserve">Мы уверены, что только ответственная и консолидированная позиция представителей АОН, выраженная через профильные ассоциации, федерации и объединения, включая Российскую ассоциацию владельцев воздушных судов и пилотов (РАОПА), Федерацию любителей авиации (ФЛА РФ), Объединённую федерацию сверхлёгкой авиации и Профсоюз АОН, может стать залогом достижения высокого уровня безопасности полётов. Именно их руководители и активные члены должны стать проводниками современных подходов в предотвращении авиационных происшествий. </w:t>
      </w:r>
    </w:p>
    <w:p>
      <w:pPr>
        <w:spacing w:after="120" w:line="288" w:lineRule="auto"/>
      </w:pPr>
      <w:r>
        <w:t>Следуя примеру стран с развитой авиацией общего назначения, необходимо как можно скорее создать при поддержке и участии АОПА, ФЛА, Профсоюза АОН и ОФСЛА Фонд безопасности полётов АОН, которому надлежит взять на себя распространение культуры безопасности полётов среди пилотов АОН.</w:t>
      </w:r>
    </w:p>
    <w:p>
      <w:pPr>
        <w:spacing w:after="120" w:line="288" w:lineRule="auto"/>
      </w:pPr>
      <w:r>
        <w:t>В то же время, именно профильные ассоциации, федерации и объединения должны нести полную ответственность за безопасность полётов в АОН. Ни Минтранс, ни Ространснадзор, ни Росавиация и другие министерства и ведомства не справятся с этой задачей. А помогать перечисленным общественным объединениям они обязаны.</w:t>
      </w:r>
    </w:p>
    <w:p>
      <w:pPr>
        <w:spacing w:after="120" w:line="288" w:lineRule="auto"/>
      </w:pPr>
      <w:bookmarkStart w:id="0" w:name="_GoBack"/>
      <w:bookmarkEnd w:id="0"/>
      <w:r>
        <w:t>Участники Круглого стола констатируют, что коммерциализация деятельности АОН жизненно важна для развития авиационной деятельности в России. Однако необходим взвешенный и последовательный подход, позволяющий избежать непродуманных решений, которые могут привести к непоправимым человеческим жертвам и значительному материальному ущербу.</w:t>
      </w:r>
    </w:p>
    <w:p>
      <w:pPr>
        <w:spacing w:after="120" w:line="288" w:lineRule="auto"/>
      </w:pPr>
      <w:r/>
    </w:p>
    <w:p>
      <w:pPr>
        <w:spacing w:after="120" w:line="288" w:lineRule="auto"/>
        <w:jc w:val="left"/>
      </w:pPr>
      <w:r>
        <w:t>В. Д. Бордунов,</w:t>
        <w:br w:type="textWrapping"/>
        <w:t>председатель Правления Независимого института международного права, профессор, эксперт по международному воздушному праву, эксперт ICAO, эксперт Экспертного совета Росавиации</w:t>
      </w:r>
    </w:p>
    <w:p>
      <w:pPr>
        <w:spacing w:after="120" w:line="288" w:lineRule="auto"/>
      </w:pPr>
      <w:r/>
    </w:p>
    <w:p>
      <w:pPr>
        <w:spacing w:after="120" w:line="288" w:lineRule="auto"/>
        <w:jc w:val="left"/>
      </w:pPr>
      <w:r>
        <w:t>Р. В. Гусаров</w:t>
        <w:br w:type="textWrapping"/>
        <w:t>главный редактор отраслевого портала AVIA*RU Network</w:t>
      </w:r>
    </w:p>
    <w:p>
      <w:pPr>
        <w:spacing w:after="120" w:line="288" w:lineRule="auto"/>
      </w:pPr>
      <w:r/>
    </w:p>
    <w:p>
      <w:pPr>
        <w:spacing w:after="120" w:line="288" w:lineRule="auto"/>
        <w:jc w:val="left"/>
      </w:pPr>
      <w:r>
        <w:t>О. К. Пантелеев</w:t>
        <w:br w:type="textWrapping"/>
        <w:t>исполнительный директор отраслевого агентства «АвиаПорт»</w:t>
      </w:r>
    </w:p>
    <w:p>
      <w:pPr>
        <w:spacing w:after="120" w:line="288" w:lineRule="auto"/>
      </w:pPr>
      <w:r/>
    </w:p>
    <w:p>
      <w:pPr>
        <w:spacing w:after="120" w:line="288" w:lineRule="auto"/>
        <w:jc w:val="left"/>
      </w:pPr>
      <w:r>
        <w:t>Б. Б. Рыбак</w:t>
        <w:br w:type="textWrapping"/>
        <w:t>генеральный директор компании «Инфомост Консалтинг»</w:t>
      </w:r>
    </w:p>
    <w:p>
      <w:pPr>
        <w:spacing w:after="120" w:line="288" w:lineRule="auto"/>
      </w:pPr>
      <w:r/>
    </w:p>
    <w:p>
      <w:pPr>
        <w:spacing w:after="120" w:line="288" w:lineRule="auto"/>
        <w:jc w:val="left"/>
      </w:pPr>
      <w:r>
        <w:t>А. В. Синицкий</w:t>
        <w:br w:type="textWrapping"/>
        <w:t>главный редактор журнала «Авиатранспортное обозрение»</w:t>
      </w:r>
    </w:p>
    <w:p>
      <w:pPr>
        <w:spacing w:after="120" w:line="288" w:lineRule="auto"/>
      </w:pPr>
      <w:r/>
    </w:p>
    <w:p>
      <w:pPr>
        <w:spacing w:after="120" w:line="288" w:lineRule="auto"/>
        <w:jc w:val="left"/>
      </w:pPr>
      <w:r>
        <w:t>В. Г. Шелковников</w:t>
        <w:br w:type="textWrapping"/>
        <w:t>президент Международного консультативно-аналитического агентства «Безопасность полетов», лауреат Государственной премии СССР в области безопасности, руководитель и участник перелета самолетов Як-18Т и Ан-2 по маршруту Москва-Сиэтл-Москва (1990 г.)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9193457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496"/>
    </w:tmLastPosCaret>
    <w:tmLastPosAnchor>
      <w:tmLastPosPgfIdx w:val="0"/>
      <w:tmLastPosIdx w:val="0"/>
    </w:tmLastPosAnchor>
    <w:tmLastPosTblRect w:left="0" w:top="0" w:right="0" w:bottom="0"/>
  </w:tmLastPos>
  <w:tmAppRevision w:date="1525362680" w:val="768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Calibri" w:cs="Times New Roman"/>
        <w:sz w:val="24"/>
        <w:szCs w:val="22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Calibri" w:cs="Times New Roman"/>
        <w:sz w:val="24"/>
        <w:szCs w:val="22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Panteleev</dc:creator>
  <cp:keywords/>
  <dc:description/>
  <cp:lastModifiedBy/>
  <cp:revision>3</cp:revision>
  <dcterms:created xsi:type="dcterms:W3CDTF">2018-05-01T10:28:00Z</dcterms:created>
  <dcterms:modified xsi:type="dcterms:W3CDTF">2018-05-03T18:51:20Z</dcterms:modified>
</cp:coreProperties>
</file>